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2"/>
        <w:ind w:left="0"/>
        <w:rPr>
          <w:rFonts w:ascii="黑体" w:eastAsia="黑体"/>
        </w:rPr>
      </w:pPr>
      <w:bookmarkStart w:id="0" w:name="_GoBack"/>
      <w:r>
        <w:rPr>
          <w:rFonts w:hint="eastAsia" w:ascii="黑体" w:eastAsia="黑体"/>
        </w:rPr>
        <w:t>附件</w:t>
      </w:r>
      <w:r>
        <w:rPr>
          <w:rFonts w:ascii="Times New Roman" w:eastAsia="Times New Roman"/>
        </w:rPr>
        <w:t>2</w:t>
      </w:r>
      <w:r>
        <w:rPr>
          <w:rFonts w:hint="eastAsia" w:ascii="黑体" w:eastAsia="黑体"/>
        </w:rPr>
        <w:t>：</w:t>
      </w:r>
    </w:p>
    <w:p>
      <w:pPr>
        <w:pStyle w:val="3"/>
        <w:spacing w:before="52"/>
        <w:ind w:left="0" w:leftChars="0" w:firstLine="0" w:firstLineChars="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团</w:t>
      </w:r>
      <w:r>
        <w:rPr>
          <w:rFonts w:hint="eastAsia" w:ascii="方正小标宋简体" w:hAnsi="方正小标宋简体" w:eastAsia="方正小标宋简体" w:cs="方正小标宋简体"/>
          <w:sz w:val="32"/>
          <w:szCs w:val="32"/>
        </w:rPr>
        <w:t>课备赛指南</w:t>
      </w:r>
    </w:p>
    <w:bookmarkEnd w:id="0"/>
    <w:p>
      <w:pPr>
        <w:pStyle w:val="3"/>
        <w:spacing w:before="191"/>
        <w:ind w:left="0"/>
        <w:rPr>
          <w:rFonts w:hint="eastAsia"/>
          <w:sz w:val="32"/>
          <w:szCs w:val="32"/>
        </w:rPr>
      </w:pPr>
      <w:r>
        <w:rPr>
          <w:rFonts w:hint="eastAsia"/>
          <w:sz w:val="32"/>
          <w:szCs w:val="32"/>
        </w:rPr>
        <w:t>一、备赛指南</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7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jc w:val="center"/>
        </w:trPr>
        <w:tc>
          <w:tcPr>
            <w:tcW w:w="2127" w:type="dxa"/>
          </w:tcPr>
          <w:p>
            <w:pPr>
              <w:pStyle w:val="8"/>
              <w:spacing w:before="1"/>
              <w:rPr>
                <w:sz w:val="42"/>
              </w:rPr>
            </w:pPr>
          </w:p>
          <w:p>
            <w:pPr>
              <w:pStyle w:val="8"/>
              <w:spacing w:before="1"/>
              <w:ind w:left="721" w:right="716"/>
              <w:jc w:val="center"/>
              <w:rPr>
                <w:rFonts w:ascii="黑体" w:eastAsia="黑体"/>
                <w:sz w:val="32"/>
              </w:rPr>
            </w:pPr>
            <w:r>
              <w:rPr>
                <w:rFonts w:hint="eastAsia" w:ascii="黑体" w:eastAsia="黑体"/>
                <w:sz w:val="32"/>
              </w:rPr>
              <w:t>章节</w:t>
            </w:r>
          </w:p>
        </w:tc>
        <w:tc>
          <w:tcPr>
            <w:tcW w:w="7512" w:type="dxa"/>
          </w:tcPr>
          <w:p>
            <w:pPr>
              <w:pStyle w:val="8"/>
              <w:spacing w:before="7" w:line="228" w:lineRule="auto"/>
              <w:ind w:left="107" w:right="108"/>
              <w:jc w:val="both"/>
              <w:rPr>
                <w:rFonts w:ascii="楷体" w:eastAsia="楷体"/>
                <w:b/>
                <w:sz w:val="28"/>
              </w:rPr>
            </w:pPr>
            <w:r>
              <w:rPr>
                <w:rFonts w:hint="eastAsia" w:ascii="楷体" w:eastAsia="楷体"/>
                <w:b/>
                <w:sz w:val="28"/>
              </w:rPr>
              <w:t>参考选题及要求：</w:t>
            </w:r>
          </w:p>
          <w:p>
            <w:pPr>
              <w:pStyle w:val="8"/>
              <w:spacing w:before="3"/>
              <w:ind w:left="107" w:firstLine="560" w:firstLineChars="200"/>
              <w:rPr>
                <w:rFonts w:ascii="楷体" w:eastAsia="楷体"/>
                <w:sz w:val="28"/>
              </w:rPr>
            </w:pPr>
            <w:r>
              <w:rPr>
                <w:rFonts w:hint="eastAsia"/>
                <w:sz w:val="28"/>
              </w:rPr>
              <w:t>请选手根据备赛指南，围绕“</w:t>
            </w:r>
            <w:r>
              <w:rPr>
                <w:rFonts w:hint="eastAsia"/>
                <w:sz w:val="28"/>
                <w:lang w:val="en-US" w:eastAsia="zh-CN"/>
              </w:rPr>
              <w:t>学习二十大</w:t>
            </w:r>
            <w:r>
              <w:rPr>
                <w:rFonts w:hint="eastAsia"/>
                <w:sz w:val="28"/>
              </w:rPr>
              <w:t>”主题，紧密联系大学生思想实际，制作一堂主题团课、思政课视频。要求：自拟题目；严谨准确，贴近学生，有吸引力感染力。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jc w:val="center"/>
        </w:trPr>
        <w:tc>
          <w:tcPr>
            <w:tcW w:w="2127" w:type="dxa"/>
          </w:tcPr>
          <w:p>
            <w:pPr>
              <w:pStyle w:val="8"/>
              <w:rPr>
                <w:sz w:val="32"/>
              </w:rPr>
            </w:pPr>
          </w:p>
          <w:p>
            <w:pPr>
              <w:pStyle w:val="8"/>
              <w:rPr>
                <w:sz w:val="32"/>
              </w:rPr>
            </w:pPr>
          </w:p>
          <w:p>
            <w:pPr>
              <w:pStyle w:val="8"/>
              <w:rPr>
                <w:sz w:val="32"/>
              </w:rPr>
            </w:pPr>
          </w:p>
          <w:p>
            <w:pPr>
              <w:pStyle w:val="8"/>
              <w:rPr>
                <w:sz w:val="32"/>
              </w:rPr>
            </w:pPr>
          </w:p>
          <w:p>
            <w:pPr>
              <w:pStyle w:val="8"/>
              <w:rPr>
                <w:sz w:val="32"/>
              </w:rPr>
            </w:pPr>
          </w:p>
          <w:p>
            <w:pPr>
              <w:pStyle w:val="8"/>
              <w:spacing w:before="1"/>
              <w:rPr>
                <w:sz w:val="31"/>
              </w:rPr>
            </w:pPr>
          </w:p>
          <w:p>
            <w:pPr>
              <w:pStyle w:val="8"/>
              <w:spacing w:before="1" w:line="364" w:lineRule="auto"/>
              <w:ind w:left="422" w:right="413"/>
              <w:rPr>
                <w:rFonts w:ascii="黑体" w:eastAsia="黑体"/>
                <w:sz w:val="32"/>
              </w:rPr>
            </w:pPr>
            <w:r>
              <w:rPr>
                <w:rFonts w:hint="eastAsia" w:ascii="黑体" w:eastAsia="黑体"/>
                <w:sz w:val="32"/>
              </w:rPr>
              <w:t>党的百年历史学习</w:t>
            </w:r>
          </w:p>
        </w:tc>
        <w:tc>
          <w:tcPr>
            <w:tcW w:w="7512" w:type="dxa"/>
          </w:tcPr>
          <w:p>
            <w:pPr>
              <w:pStyle w:val="8"/>
              <w:spacing w:before="7" w:line="228" w:lineRule="auto"/>
              <w:ind w:left="107" w:right="108"/>
              <w:jc w:val="both"/>
              <w:rPr>
                <w:sz w:val="28"/>
              </w:rPr>
            </w:pPr>
            <w:r>
              <w:rPr>
                <w:rFonts w:hint="eastAsia" w:ascii="楷体" w:eastAsia="楷体"/>
                <w:b/>
                <w:sz w:val="28"/>
              </w:rPr>
              <w:t>事件篇：</w:t>
            </w:r>
            <w:r>
              <w:rPr>
                <w:sz w:val="28"/>
              </w:rPr>
              <w:t>五四运动，中国共产党成立，遵义会议，真理标准讨论，港澳回归，神舟七号，实现中华民族伟大复兴中国梦的提出，党的三份历史决议的通过等在党和国家发展过程中具有重大影响力的事件。</w:t>
            </w:r>
          </w:p>
          <w:p>
            <w:pPr>
              <w:pStyle w:val="8"/>
              <w:spacing w:line="228" w:lineRule="auto"/>
              <w:ind w:left="107" w:right="108"/>
              <w:rPr>
                <w:sz w:val="28"/>
              </w:rPr>
            </w:pPr>
            <w:r>
              <w:rPr>
                <w:rFonts w:hint="eastAsia" w:ascii="楷体" w:hAnsi="楷体" w:eastAsia="楷体"/>
                <w:b/>
                <w:spacing w:val="-1"/>
                <w:sz w:val="28"/>
              </w:rPr>
              <w:t>精神篇：</w:t>
            </w:r>
            <w:r>
              <w:rPr>
                <w:spacing w:val="-3"/>
                <w:sz w:val="28"/>
              </w:rPr>
              <w:t>建党精神，井冈山精神，长征精神，延安精神，抗</w:t>
            </w:r>
            <w:r>
              <w:rPr>
                <w:spacing w:val="-14"/>
                <w:sz w:val="28"/>
              </w:rPr>
              <w:t>美援朝精神，“两弹一星”精神，王杰精神，改革开放精神</w:t>
            </w:r>
            <w:r>
              <w:rPr>
                <w:spacing w:val="-3"/>
                <w:sz w:val="28"/>
              </w:rPr>
              <w:t>载人航天精神，劳模精神等纳入中国共产党人精神谱系的伟</w:t>
            </w:r>
            <w:r>
              <w:rPr>
                <w:spacing w:val="-2"/>
                <w:sz w:val="28"/>
              </w:rPr>
              <w:t>大精神。</w:t>
            </w:r>
          </w:p>
          <w:p>
            <w:pPr>
              <w:pStyle w:val="8"/>
              <w:spacing w:line="228" w:lineRule="auto"/>
              <w:ind w:left="107" w:right="108"/>
              <w:jc w:val="both"/>
              <w:rPr>
                <w:sz w:val="28"/>
              </w:rPr>
            </w:pPr>
            <w:r>
              <w:rPr>
                <w:rFonts w:hint="eastAsia" w:ascii="楷体" w:eastAsia="楷体"/>
                <w:b/>
                <w:sz w:val="28"/>
              </w:rPr>
              <w:t>人物篇：</w:t>
            </w:r>
            <w:r>
              <w:rPr>
                <w:sz w:val="28"/>
              </w:rPr>
              <w:t>李大钊，陈独秀，瞿秋白，张太雷，恽代英，白求恩，铁军新四军，雨花英烈，钱学森，袁隆平，王继才，黄文秀等为党和国家事业发展作出突出贡献的英雄群体或模范人物。</w:t>
            </w:r>
          </w:p>
          <w:p>
            <w:pPr>
              <w:pStyle w:val="8"/>
              <w:spacing w:line="228" w:lineRule="auto"/>
              <w:ind w:left="107" w:right="108"/>
              <w:jc w:val="both"/>
              <w:rPr>
                <w:sz w:val="28"/>
              </w:rPr>
            </w:pPr>
            <w:r>
              <w:rPr>
                <w:rFonts w:hint="eastAsia" w:ascii="楷体" w:eastAsia="楷体"/>
                <w:b/>
                <w:sz w:val="28"/>
              </w:rPr>
              <w:t>青年篇章：</w:t>
            </w:r>
            <w:r>
              <w:rPr>
                <w:sz w:val="28"/>
              </w:rPr>
              <w:t>中国共产党创建中国青年团组织，共青团跟随共产党在土地革命中奋斗，青年抗日救亡运动，青年突击队、青年垦荒队、青年文明号、青年创业行动、大学生志愿服务西部计划、时代新人培育等党引领指导青年群体成长成才为合格社会主义事业接班人的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2" w:hRule="atLeast"/>
          <w:jc w:val="center"/>
        </w:trPr>
        <w:tc>
          <w:tcPr>
            <w:tcW w:w="2127" w:type="dxa"/>
          </w:tcPr>
          <w:p>
            <w:pPr>
              <w:pStyle w:val="8"/>
              <w:rPr>
                <w:sz w:val="32"/>
              </w:rPr>
            </w:pPr>
          </w:p>
          <w:p>
            <w:pPr>
              <w:pStyle w:val="8"/>
              <w:rPr>
                <w:sz w:val="32"/>
              </w:rPr>
            </w:pPr>
          </w:p>
          <w:p>
            <w:pPr>
              <w:pStyle w:val="8"/>
              <w:spacing w:before="234" w:line="364" w:lineRule="auto"/>
              <w:ind w:left="422" w:right="413"/>
              <w:rPr>
                <w:rFonts w:ascii="黑体" w:eastAsia="黑体"/>
                <w:sz w:val="32"/>
              </w:rPr>
            </w:pPr>
            <w:r>
              <w:rPr>
                <w:rFonts w:hint="eastAsia" w:ascii="黑体" w:eastAsia="黑体"/>
                <w:sz w:val="32"/>
              </w:rPr>
              <w:t>新时代的历史成就</w:t>
            </w:r>
          </w:p>
        </w:tc>
        <w:tc>
          <w:tcPr>
            <w:tcW w:w="7512" w:type="dxa"/>
          </w:tcPr>
          <w:p>
            <w:pPr>
              <w:pStyle w:val="8"/>
              <w:spacing w:before="6" w:line="228" w:lineRule="auto"/>
              <w:ind w:left="107" w:right="110" w:firstLine="560" w:firstLineChars="200"/>
              <w:jc w:val="both"/>
              <w:rPr>
                <w:sz w:val="28"/>
              </w:rPr>
            </w:pPr>
            <w:r>
              <w:rPr>
                <w:sz w:val="28"/>
              </w:rPr>
              <w:t>全面深化改革的重大突破，全面依法治国的重大进展，全面从严治党的重大成果，经济实力、科技实力、综合国力的发展，防范化解重大风险的能力提升，脱贫攻坚的成果，污染防治与生态环境改善，对外开放的扩大，“一带一路”建设成果，人民对美好生活需求的不断满足，乡村振兴战略实施的成果，全面小康社会的建成，迈向开启全面建设中国特色社会主义现代化国家新征程，长三角一体化国家战略，</w:t>
            </w:r>
            <w:r>
              <w:rPr>
                <w:rFonts w:ascii="Times New Roman" w:hAnsi="Times New Roman" w:eastAsia="Times New Roman"/>
                <w:sz w:val="28"/>
              </w:rPr>
              <w:t>2022</w:t>
            </w:r>
            <w:r>
              <w:rPr>
                <w:sz w:val="28"/>
              </w:rPr>
              <w:t>年北京冬奥会和冬残奥会，中国走进“空间站”时代，港珠澳大桥通车，抗击新冠肺炎疫情等。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jc w:val="center"/>
        </w:trPr>
        <w:tc>
          <w:tcPr>
            <w:tcW w:w="2127" w:type="dxa"/>
          </w:tcPr>
          <w:p>
            <w:pPr>
              <w:pStyle w:val="8"/>
              <w:spacing w:before="117"/>
              <w:ind w:left="422"/>
              <w:rPr>
                <w:rFonts w:ascii="黑体" w:eastAsia="黑体"/>
                <w:sz w:val="32"/>
              </w:rPr>
            </w:pPr>
            <w:r>
              <w:rPr>
                <w:rFonts w:hint="eastAsia" w:ascii="黑体" w:eastAsia="黑体"/>
                <w:w w:val="95"/>
                <w:sz w:val="32"/>
              </w:rPr>
              <w:t>百年未有</w:t>
            </w:r>
          </w:p>
          <w:p>
            <w:pPr>
              <w:pStyle w:val="8"/>
              <w:spacing w:before="214"/>
              <w:ind w:left="422"/>
              <w:rPr>
                <w:rFonts w:ascii="黑体" w:eastAsia="黑体"/>
                <w:sz w:val="32"/>
              </w:rPr>
            </w:pPr>
            <w:r>
              <w:rPr>
                <w:rFonts w:hint="eastAsia" w:ascii="黑体" w:eastAsia="黑体"/>
                <w:w w:val="95"/>
                <w:sz w:val="32"/>
              </w:rPr>
              <w:t>之大变局</w:t>
            </w:r>
          </w:p>
        </w:tc>
        <w:tc>
          <w:tcPr>
            <w:tcW w:w="7512" w:type="dxa"/>
          </w:tcPr>
          <w:p>
            <w:pPr>
              <w:pStyle w:val="8"/>
              <w:spacing w:before="8" w:line="228" w:lineRule="auto"/>
              <w:ind w:left="107" w:right="96" w:firstLine="560" w:firstLineChars="200"/>
              <w:jc w:val="both"/>
              <w:rPr>
                <w:sz w:val="28"/>
              </w:rPr>
            </w:pPr>
            <w:r>
              <w:rPr>
                <w:sz w:val="28"/>
              </w:rPr>
              <w:t>构建人类命运共同体，“一带一路”倡议等国际主张提出的背景、意义与发展现状，百年未有之大变局的内涵与各类风险挑战等，全球时政讲解，国家安全意识教育等。</w:t>
            </w:r>
          </w:p>
        </w:tc>
      </w:tr>
    </w:tbl>
    <w:p>
      <w:pPr>
        <w:pStyle w:val="3"/>
        <w:spacing w:before="52"/>
        <w:ind w:left="0"/>
        <w:jc w:val="center"/>
        <w:rPr>
          <w:sz w:val="36"/>
          <w:szCs w:val="36"/>
        </w:rPr>
      </w:pPr>
    </w:p>
    <w:p>
      <w:pPr>
        <w:pStyle w:val="3"/>
        <w:spacing w:before="52"/>
        <w:ind w:left="0"/>
        <w:jc w:val="center"/>
        <w:rPr>
          <w:sz w:val="36"/>
          <w:szCs w:val="36"/>
        </w:rPr>
      </w:pPr>
    </w:p>
    <w:p>
      <w:pPr>
        <w:pStyle w:val="3"/>
        <w:spacing w:before="52"/>
        <w:ind w:left="0"/>
        <w:jc w:val="center"/>
        <w:rPr>
          <w:sz w:val="36"/>
          <w:szCs w:val="36"/>
        </w:rPr>
      </w:pPr>
    </w:p>
    <w:p>
      <w:pPr>
        <w:pStyle w:val="3"/>
        <w:spacing w:before="52"/>
        <w:ind w:left="0"/>
        <w:jc w:val="center"/>
        <w:rPr>
          <w:sz w:val="36"/>
          <w:szCs w:val="36"/>
        </w:rPr>
      </w:pPr>
    </w:p>
    <w:p>
      <w:pPr>
        <w:pStyle w:val="3"/>
        <w:spacing w:before="52"/>
        <w:ind w:left="0"/>
        <w:jc w:val="center"/>
        <w:rPr>
          <w:sz w:val="36"/>
          <w:szCs w:val="36"/>
        </w:rPr>
      </w:pPr>
    </w:p>
    <w:p>
      <w:pPr>
        <w:pStyle w:val="3"/>
        <w:spacing w:before="52"/>
        <w:ind w:left="0"/>
        <w:jc w:val="center"/>
        <w:rPr>
          <w:sz w:val="36"/>
          <w:szCs w:val="36"/>
        </w:rPr>
      </w:pPr>
    </w:p>
    <w:p>
      <w:pPr>
        <w:pStyle w:val="3"/>
        <w:spacing w:before="191"/>
        <w:ind w:left="1640"/>
        <w:rPr>
          <w:sz w:val="36"/>
          <w:szCs w:val="36"/>
        </w:rPr>
      </w:pPr>
    </w:p>
    <w:p>
      <w:pPr>
        <w:pStyle w:val="3"/>
        <w:spacing w:before="191"/>
        <w:ind w:left="0"/>
        <w:rPr>
          <w:sz w:val="32"/>
          <w:szCs w:val="32"/>
        </w:rPr>
      </w:pPr>
      <w:r>
        <w:rPr>
          <w:rFonts w:hint="eastAsia"/>
          <w:sz w:val="32"/>
          <w:szCs w:val="32"/>
        </w:rPr>
        <w:t>二、主题</w:t>
      </w:r>
      <w:r>
        <w:rPr>
          <w:rFonts w:hint="eastAsia"/>
          <w:sz w:val="32"/>
          <w:szCs w:val="32"/>
          <w:lang w:val="en-US" w:eastAsia="zh-CN"/>
        </w:rPr>
        <w:t>团课</w:t>
      </w:r>
      <w:r>
        <w:rPr>
          <w:rFonts w:hint="eastAsia"/>
          <w:sz w:val="32"/>
          <w:szCs w:val="32"/>
        </w:rPr>
        <w:t>评审标准</w:t>
      </w:r>
    </w:p>
    <w:p>
      <w:pPr>
        <w:pStyle w:val="3"/>
        <w:spacing w:before="8"/>
        <w:ind w:left="0"/>
        <w:rPr>
          <w:rFonts w:ascii="微软雅黑"/>
          <w:sz w:val="5"/>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6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1635" w:type="dxa"/>
          </w:tcPr>
          <w:p>
            <w:pPr>
              <w:pStyle w:val="8"/>
              <w:spacing w:before="249"/>
              <w:ind w:left="256"/>
              <w:rPr>
                <w:rFonts w:ascii="黑体" w:eastAsia="黑体"/>
                <w:sz w:val="28"/>
              </w:rPr>
            </w:pPr>
            <w:r>
              <w:rPr>
                <w:rFonts w:hint="eastAsia" w:ascii="黑体" w:eastAsia="黑体"/>
                <w:sz w:val="28"/>
              </w:rPr>
              <w:t>评审内容</w:t>
            </w:r>
          </w:p>
        </w:tc>
        <w:tc>
          <w:tcPr>
            <w:tcW w:w="6915" w:type="dxa"/>
          </w:tcPr>
          <w:p>
            <w:pPr>
              <w:pStyle w:val="8"/>
              <w:spacing w:before="249"/>
              <w:ind w:left="2002" w:right="1993"/>
              <w:jc w:val="center"/>
              <w:rPr>
                <w:rFonts w:ascii="黑体" w:eastAsia="黑体"/>
                <w:sz w:val="28"/>
              </w:rPr>
            </w:pPr>
            <w:r>
              <w:rPr>
                <w:rFonts w:hint="eastAsia" w:ascii="黑体" w:eastAsia="黑体"/>
                <w:sz w:val="28"/>
              </w:rPr>
              <w:t>评审要求（共</w:t>
            </w:r>
            <w:r>
              <w:rPr>
                <w:rFonts w:ascii="Times New Roman" w:eastAsia="Times New Roman"/>
                <w:sz w:val="28"/>
              </w:rPr>
              <w:t>100</w:t>
            </w:r>
            <w:r>
              <w:rPr>
                <w:rFonts w:hint="eastAsia" w:ascii="黑体" w:eastAsia="黑体"/>
                <w:sz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jc w:val="center"/>
        </w:trPr>
        <w:tc>
          <w:tcPr>
            <w:tcW w:w="1635" w:type="dxa"/>
          </w:tcPr>
          <w:p>
            <w:pPr>
              <w:pStyle w:val="8"/>
              <w:spacing w:before="17"/>
              <w:rPr>
                <w:rFonts w:ascii="微软雅黑"/>
                <w:sz w:val="29"/>
              </w:rPr>
            </w:pPr>
          </w:p>
          <w:p>
            <w:pPr>
              <w:pStyle w:val="8"/>
              <w:ind w:left="256"/>
              <w:rPr>
                <w:rFonts w:ascii="黑体" w:eastAsia="黑体"/>
                <w:sz w:val="28"/>
              </w:rPr>
            </w:pPr>
            <w:r>
              <w:rPr>
                <w:rFonts w:hint="eastAsia" w:ascii="黑体" w:eastAsia="黑体"/>
                <w:spacing w:val="-2"/>
                <w:sz w:val="28"/>
              </w:rPr>
              <w:t>宣讲主题</w:t>
            </w:r>
          </w:p>
          <w:p>
            <w:pPr>
              <w:pStyle w:val="8"/>
              <w:spacing w:before="62"/>
              <w:ind w:left="222"/>
              <w:rPr>
                <w:rFonts w:ascii="黑体" w:eastAsia="黑体"/>
                <w:sz w:val="28"/>
              </w:rPr>
            </w:pPr>
            <w:r>
              <w:rPr>
                <w:rFonts w:hint="eastAsia" w:ascii="黑体" w:eastAsia="黑体"/>
                <w:sz w:val="28"/>
              </w:rPr>
              <w:t>（</w:t>
            </w:r>
            <w:r>
              <w:rPr>
                <w:rFonts w:ascii="Times New Roman" w:eastAsia="Times New Roman"/>
                <w:sz w:val="28"/>
              </w:rPr>
              <w:t>25</w:t>
            </w:r>
            <w:r>
              <w:rPr>
                <w:rFonts w:hint="eastAsia" w:ascii="黑体" w:eastAsia="黑体"/>
                <w:sz w:val="28"/>
              </w:rPr>
              <w:t>分）</w:t>
            </w:r>
          </w:p>
        </w:tc>
        <w:tc>
          <w:tcPr>
            <w:tcW w:w="6915" w:type="dxa"/>
          </w:tcPr>
          <w:p>
            <w:pPr>
              <w:pStyle w:val="8"/>
              <w:spacing w:before="242"/>
              <w:ind w:left="149" w:right="-15"/>
              <w:rPr>
                <w:sz w:val="28"/>
              </w:rPr>
            </w:pPr>
            <w:r>
              <w:rPr>
                <w:spacing w:val="-12"/>
                <w:sz w:val="28"/>
              </w:rPr>
              <w:t>主题鲜明，导向正确。能正确运用马克思主义立场、观</w:t>
            </w:r>
          </w:p>
          <w:p>
            <w:pPr>
              <w:pStyle w:val="8"/>
              <w:spacing w:before="2" w:line="560" w:lineRule="atLeast"/>
              <w:ind w:left="149" w:right="-15"/>
              <w:rPr>
                <w:sz w:val="28"/>
              </w:rPr>
            </w:pPr>
            <w:r>
              <w:rPr>
                <w:spacing w:val="-20"/>
                <w:sz w:val="28"/>
              </w:rPr>
              <w:t>点和方法，帮助团员解决思想问题，特别是理想、信念、</w:t>
            </w:r>
            <w:r>
              <w:rPr>
                <w:spacing w:val="-5"/>
                <w:sz w:val="28"/>
              </w:rPr>
              <w:t>宗旨、作风等方面的问题，形成向上向善的积极导向。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9" w:hRule="atLeast"/>
          <w:jc w:val="center"/>
        </w:trPr>
        <w:tc>
          <w:tcPr>
            <w:tcW w:w="1635" w:type="dxa"/>
          </w:tcPr>
          <w:p>
            <w:pPr>
              <w:pStyle w:val="8"/>
              <w:rPr>
                <w:rFonts w:ascii="微软雅黑"/>
                <w:sz w:val="28"/>
              </w:rPr>
            </w:pPr>
          </w:p>
          <w:p>
            <w:pPr>
              <w:pStyle w:val="8"/>
              <w:spacing w:before="6"/>
              <w:rPr>
                <w:rFonts w:ascii="微软雅黑"/>
                <w:sz w:val="32"/>
              </w:rPr>
            </w:pPr>
          </w:p>
          <w:p>
            <w:pPr>
              <w:pStyle w:val="8"/>
              <w:ind w:left="256"/>
              <w:rPr>
                <w:rFonts w:ascii="黑体" w:eastAsia="黑体"/>
                <w:sz w:val="28"/>
              </w:rPr>
            </w:pPr>
            <w:r>
              <w:rPr>
                <w:rFonts w:hint="eastAsia" w:ascii="黑体" w:eastAsia="黑体"/>
                <w:spacing w:val="-2"/>
                <w:sz w:val="28"/>
              </w:rPr>
              <w:t>宣讲内容</w:t>
            </w:r>
          </w:p>
          <w:p>
            <w:pPr>
              <w:pStyle w:val="8"/>
              <w:spacing w:before="61"/>
              <w:ind w:left="222"/>
              <w:rPr>
                <w:rFonts w:ascii="黑体" w:eastAsia="黑体"/>
                <w:sz w:val="28"/>
              </w:rPr>
            </w:pPr>
            <w:r>
              <w:rPr>
                <w:rFonts w:hint="eastAsia" w:ascii="黑体" w:eastAsia="黑体"/>
                <w:sz w:val="28"/>
              </w:rPr>
              <w:t>（</w:t>
            </w:r>
            <w:r>
              <w:rPr>
                <w:rFonts w:ascii="Times New Roman" w:eastAsia="Times New Roman"/>
                <w:sz w:val="28"/>
              </w:rPr>
              <w:t>40</w:t>
            </w:r>
            <w:r>
              <w:rPr>
                <w:rFonts w:hint="eastAsia" w:ascii="黑体" w:eastAsia="黑体"/>
                <w:sz w:val="28"/>
              </w:rPr>
              <w:t>分）</w:t>
            </w:r>
          </w:p>
        </w:tc>
        <w:tc>
          <w:tcPr>
            <w:tcW w:w="6915" w:type="dxa"/>
          </w:tcPr>
          <w:p>
            <w:pPr>
              <w:pStyle w:val="8"/>
              <w:spacing w:before="243" w:line="374" w:lineRule="auto"/>
              <w:ind w:left="149" w:right="136"/>
              <w:jc w:val="both"/>
              <w:rPr>
                <w:sz w:val="28"/>
              </w:rPr>
            </w:pPr>
            <w:r>
              <w:rPr>
                <w:spacing w:val="-12"/>
                <w:sz w:val="28"/>
              </w:rPr>
              <w:t>内容丰富，逻辑清晰。能紧扣团课、思政课主题设计内容，结构严谨，主线明晰，观点准确，内容丰富，衔接顺畅，素材选用得当，有一定的信息量，语言贴合青年特点，能够将政治思想转化为青年语言，符合团课、思</w:t>
            </w:r>
            <w:r>
              <w:rPr>
                <w:sz w:val="28"/>
              </w:rPr>
              <w:t>政课内容要求。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0" w:hRule="atLeast"/>
          <w:jc w:val="center"/>
        </w:trPr>
        <w:tc>
          <w:tcPr>
            <w:tcW w:w="1635" w:type="dxa"/>
          </w:tcPr>
          <w:p>
            <w:pPr>
              <w:pStyle w:val="8"/>
              <w:rPr>
                <w:rFonts w:ascii="微软雅黑"/>
                <w:sz w:val="28"/>
              </w:rPr>
            </w:pPr>
          </w:p>
          <w:p>
            <w:pPr>
              <w:pStyle w:val="8"/>
              <w:spacing w:before="5"/>
              <w:rPr>
                <w:rFonts w:ascii="微软雅黑"/>
                <w:sz w:val="32"/>
              </w:rPr>
            </w:pPr>
          </w:p>
          <w:p>
            <w:pPr>
              <w:pStyle w:val="8"/>
              <w:ind w:left="256"/>
              <w:rPr>
                <w:rFonts w:ascii="黑体" w:eastAsia="黑体"/>
                <w:sz w:val="28"/>
              </w:rPr>
            </w:pPr>
            <w:r>
              <w:rPr>
                <w:rFonts w:hint="eastAsia" w:ascii="黑体" w:eastAsia="黑体"/>
                <w:spacing w:val="-2"/>
                <w:sz w:val="28"/>
              </w:rPr>
              <w:t>宣讲形式</w:t>
            </w:r>
          </w:p>
          <w:p>
            <w:pPr>
              <w:pStyle w:val="8"/>
              <w:spacing w:before="61"/>
              <w:ind w:left="222"/>
              <w:rPr>
                <w:rFonts w:ascii="黑体" w:eastAsia="黑体"/>
                <w:sz w:val="28"/>
              </w:rPr>
            </w:pPr>
            <w:r>
              <w:rPr>
                <w:rFonts w:hint="eastAsia" w:ascii="黑体" w:eastAsia="黑体"/>
                <w:sz w:val="28"/>
              </w:rPr>
              <w:t>（</w:t>
            </w:r>
            <w:r>
              <w:rPr>
                <w:rFonts w:ascii="Times New Roman" w:eastAsia="Times New Roman"/>
                <w:sz w:val="28"/>
              </w:rPr>
              <w:t>15</w:t>
            </w:r>
            <w:r>
              <w:rPr>
                <w:rFonts w:hint="eastAsia" w:ascii="黑体" w:eastAsia="黑体"/>
                <w:sz w:val="28"/>
              </w:rPr>
              <w:t>分）</w:t>
            </w:r>
          </w:p>
        </w:tc>
        <w:tc>
          <w:tcPr>
            <w:tcW w:w="6915" w:type="dxa"/>
          </w:tcPr>
          <w:p>
            <w:pPr>
              <w:pStyle w:val="8"/>
              <w:spacing w:before="242" w:line="374" w:lineRule="auto"/>
              <w:ind w:left="149" w:right="32"/>
              <w:rPr>
                <w:sz w:val="28"/>
              </w:rPr>
            </w:pPr>
            <w:r>
              <w:rPr>
                <w:spacing w:val="-12"/>
                <w:sz w:val="28"/>
              </w:rPr>
              <w:t>形象生动，引人入胜。能紧扣团课、思政课主题和内容</w:t>
            </w:r>
            <w:r>
              <w:rPr>
                <w:spacing w:val="-3"/>
                <w:sz w:val="28"/>
              </w:rPr>
              <w:t>设计讲授形式，有较好的讲授技巧，善于将“大道理”</w:t>
            </w:r>
            <w:r>
              <w:rPr>
                <w:spacing w:val="-10"/>
                <w:sz w:val="28"/>
              </w:rPr>
              <w:t>转化为团员青年易于接受的“小道理”，口头表达清晰</w:t>
            </w:r>
            <w:r>
              <w:rPr>
                <w:spacing w:val="-13"/>
                <w:sz w:val="28"/>
              </w:rPr>
              <w:t>准确流利，仪态端庄大方，表情和肢体语言得体，感情</w:t>
            </w:r>
          </w:p>
          <w:p>
            <w:pPr>
              <w:pStyle w:val="8"/>
              <w:spacing w:before="3"/>
              <w:ind w:left="149"/>
              <w:rPr>
                <w:sz w:val="28"/>
              </w:rPr>
            </w:pPr>
            <w:r>
              <w:rPr>
                <w:sz w:val="28"/>
              </w:rPr>
              <w:t>饱满有感染力。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jc w:val="center"/>
        </w:trPr>
        <w:tc>
          <w:tcPr>
            <w:tcW w:w="1635" w:type="dxa"/>
          </w:tcPr>
          <w:p>
            <w:pPr>
              <w:pStyle w:val="8"/>
              <w:spacing w:before="16"/>
              <w:rPr>
                <w:rFonts w:ascii="微软雅黑"/>
                <w:sz w:val="29"/>
              </w:rPr>
            </w:pPr>
          </w:p>
          <w:p>
            <w:pPr>
              <w:pStyle w:val="8"/>
              <w:spacing w:before="1"/>
              <w:ind w:left="256"/>
              <w:rPr>
                <w:rFonts w:ascii="黑体" w:eastAsia="黑体"/>
                <w:sz w:val="28"/>
              </w:rPr>
            </w:pPr>
            <w:r>
              <w:rPr>
                <w:rFonts w:hint="eastAsia" w:ascii="黑体" w:eastAsia="黑体"/>
                <w:spacing w:val="-2"/>
                <w:sz w:val="28"/>
              </w:rPr>
              <w:t>宣讲效果</w:t>
            </w:r>
          </w:p>
          <w:p>
            <w:pPr>
              <w:pStyle w:val="8"/>
              <w:spacing w:before="61"/>
              <w:ind w:left="222"/>
              <w:rPr>
                <w:rFonts w:ascii="黑体" w:eastAsia="黑体"/>
                <w:sz w:val="28"/>
              </w:rPr>
            </w:pPr>
            <w:r>
              <w:rPr>
                <w:rFonts w:hint="eastAsia" w:ascii="黑体" w:eastAsia="黑体"/>
                <w:sz w:val="28"/>
              </w:rPr>
              <w:t>（</w:t>
            </w:r>
            <w:r>
              <w:rPr>
                <w:rFonts w:ascii="Times New Roman" w:eastAsia="Times New Roman"/>
                <w:sz w:val="28"/>
              </w:rPr>
              <w:t>20</w:t>
            </w:r>
            <w:r>
              <w:rPr>
                <w:rFonts w:hint="eastAsia" w:ascii="黑体" w:eastAsia="黑体"/>
                <w:sz w:val="28"/>
              </w:rPr>
              <w:t>分）</w:t>
            </w:r>
          </w:p>
        </w:tc>
        <w:tc>
          <w:tcPr>
            <w:tcW w:w="6915" w:type="dxa"/>
          </w:tcPr>
          <w:p>
            <w:pPr>
              <w:pStyle w:val="8"/>
              <w:spacing w:before="43" w:line="560" w:lineRule="atLeast"/>
              <w:ind w:left="149" w:right="-15"/>
              <w:rPr>
                <w:sz w:val="28"/>
              </w:rPr>
            </w:pPr>
            <w:r>
              <w:rPr>
                <w:spacing w:val="-12"/>
                <w:sz w:val="28"/>
              </w:rPr>
              <w:t>目标明确、达到预期。能结合团员青年身心特点，培养</w:t>
            </w:r>
            <w:r>
              <w:rPr>
                <w:spacing w:val="-19"/>
                <w:sz w:val="28"/>
              </w:rPr>
              <w:t>团员意识，增强对党、团组织的理解和认同，共鸣感强，</w:t>
            </w:r>
            <w:r>
              <w:rPr>
                <w:spacing w:val="-5"/>
                <w:sz w:val="28"/>
              </w:rPr>
              <w:t>宣讲效果好。</w:t>
            </w:r>
          </w:p>
        </w:tc>
      </w:tr>
    </w:tbl>
    <w:p>
      <w:pPr>
        <w:jc w:val="center"/>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OWZjZDc2Yjc1NzJjMjc0ZmFhMTNkNWJhYmJkZjkifQ=="/>
  </w:docVars>
  <w:rsids>
    <w:rsidRoot w:val="24F81A16"/>
    <w:rsid w:val="000243E1"/>
    <w:rsid w:val="0002525C"/>
    <w:rsid w:val="000B5047"/>
    <w:rsid w:val="0027556F"/>
    <w:rsid w:val="00461B65"/>
    <w:rsid w:val="007728C2"/>
    <w:rsid w:val="008C1784"/>
    <w:rsid w:val="00B11794"/>
    <w:rsid w:val="00C16861"/>
    <w:rsid w:val="00FE0573"/>
    <w:rsid w:val="24F81A16"/>
    <w:rsid w:val="30CC33FB"/>
    <w:rsid w:val="356B7A98"/>
    <w:rsid w:val="43302ED5"/>
    <w:rsid w:val="5B395416"/>
    <w:rsid w:val="5E6C4FCF"/>
    <w:rsid w:val="6E55274E"/>
    <w:rsid w:val="FFDFD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109"/>
      <w:ind w:left="2992" w:right="1813" w:hanging="1800"/>
      <w:outlineLvl w:val="0"/>
    </w:pPr>
    <w:rPr>
      <w:sz w:val="36"/>
      <w:szCs w:val="36"/>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1000"/>
    </w:pPr>
    <w:rPr>
      <w:sz w:val="32"/>
      <w:szCs w:val="32"/>
    </w:rPr>
  </w:style>
  <w:style w:type="paragraph" w:styleId="4">
    <w:name w:val="footer"/>
    <w:basedOn w:val="1"/>
    <w:link w:val="10"/>
    <w:autoRedefine/>
    <w:qFormat/>
    <w:uiPriority w:val="0"/>
    <w:pPr>
      <w:tabs>
        <w:tab w:val="center" w:pos="4153"/>
        <w:tab w:val="right" w:pos="8306"/>
      </w:tabs>
      <w:snapToGrid w:val="0"/>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Table Paragraph"/>
    <w:basedOn w:val="1"/>
    <w:autoRedefine/>
    <w:qFormat/>
    <w:uiPriority w:val="1"/>
  </w:style>
  <w:style w:type="character" w:customStyle="1" w:styleId="9">
    <w:name w:val="页眉 字符"/>
    <w:basedOn w:val="7"/>
    <w:link w:val="5"/>
    <w:autoRedefine/>
    <w:qFormat/>
    <w:uiPriority w:val="0"/>
    <w:rPr>
      <w:rFonts w:ascii="宋体" w:hAnsi="宋体" w:eastAsia="宋体" w:cs="宋体"/>
      <w:sz w:val="18"/>
      <w:szCs w:val="18"/>
      <w:lang w:val="zh-CN" w:bidi="zh-CN"/>
    </w:rPr>
  </w:style>
  <w:style w:type="character" w:customStyle="1" w:styleId="10">
    <w:name w:val="页脚 字符"/>
    <w:basedOn w:val="7"/>
    <w:link w:val="4"/>
    <w:autoRedefine/>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191</Words>
  <Characters>1089</Characters>
  <Lines>9</Lines>
  <Paragraphs>2</Paragraphs>
  <TotalTime>7</TotalTime>
  <ScaleCrop>false</ScaleCrop>
  <LinksUpToDate>false</LinksUpToDate>
  <CharactersWithSpaces>1278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2022-04-05T13:54:00Z</dcterms:created>
  <dc:creator>张鹏远</dc:creator>
  <cp:lastModifiedBy>芮小婷</cp:lastModifiedBy>
  <dcterms:modified xsi:type="dcterms:W3CDTF">2024-03-22T02:00:15Z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2BA55B70561D469B93025548317DA315_13</vt:lpwstr>
  </property>
</Properties>
</file>